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华光大标宋_CNKI"/>
          <w:sz w:val="36"/>
          <w:szCs w:val="36"/>
          <w:highlight w:val="none"/>
        </w:rPr>
      </w:pPr>
      <w:bookmarkStart w:id="0" w:name="_GoBack"/>
      <w:r>
        <w:rPr>
          <w:rFonts w:hint="eastAsia" w:ascii="仿宋" w:hAnsi="仿宋" w:eastAsia="仿宋" w:cs="仿宋"/>
          <w:sz w:val="30"/>
          <w:szCs w:val="30"/>
          <w:highlight w:val="none"/>
          <w:lang w:eastAsia="zh-CN"/>
        </w:rPr>
        <w:t>附件</w:t>
      </w:r>
      <w:r>
        <w:rPr>
          <w:rFonts w:hint="eastAsia" w:ascii="仿宋" w:hAnsi="仿宋" w:eastAsia="仿宋" w:cs="仿宋"/>
          <w:sz w:val="30"/>
          <w:szCs w:val="30"/>
          <w:highlight w:val="none"/>
          <w:lang w:val="en-US" w:eastAsia="zh-CN"/>
        </w:rPr>
        <w:t>2：</w:t>
      </w:r>
    </w:p>
    <w:p>
      <w:pPr>
        <w:jc w:val="center"/>
        <w:rPr>
          <w:rFonts w:hint="eastAsia" w:ascii="黑体" w:hAnsi="黑体" w:eastAsia="黑体" w:cs="华光大标宋_CNKI"/>
          <w:sz w:val="36"/>
          <w:szCs w:val="36"/>
          <w:highlight w:val="none"/>
        </w:rPr>
      </w:pPr>
      <w:r>
        <w:rPr>
          <w:rFonts w:hint="eastAsia" w:ascii="黑体" w:hAnsi="黑体" w:eastAsia="黑体" w:cs="华光大标宋_CNKI"/>
          <w:sz w:val="36"/>
          <w:szCs w:val="36"/>
          <w:highlight w:val="none"/>
        </w:rPr>
        <w:t>开平市2024年中央农业防灾减灾和水利救灾资金（防灾救灾第三批）—水稻病虫害统防统治项目</w:t>
      </w:r>
    </w:p>
    <w:p>
      <w:pPr>
        <w:jc w:val="center"/>
        <w:rPr>
          <w:rFonts w:ascii="黑体" w:hAnsi="黑体" w:eastAsia="黑体" w:cs="华光大标宋_CNKI"/>
          <w:sz w:val="36"/>
          <w:szCs w:val="36"/>
          <w:highlight w:val="none"/>
        </w:rPr>
      </w:pPr>
      <w:r>
        <w:rPr>
          <w:rFonts w:hint="eastAsia" w:ascii="黑体" w:hAnsi="黑体" w:eastAsia="黑体" w:cs="华光大标宋_CNKI"/>
          <w:sz w:val="36"/>
          <w:szCs w:val="36"/>
          <w:highlight w:val="none"/>
          <w:lang w:eastAsia="zh-CN"/>
        </w:rPr>
        <w:t>技</w:t>
      </w:r>
      <w:r>
        <w:rPr>
          <w:rFonts w:hint="eastAsia" w:ascii="黑体" w:hAnsi="黑体" w:eastAsia="黑体" w:cs="华光大标宋_CNKI"/>
          <w:sz w:val="36"/>
          <w:szCs w:val="36"/>
          <w:highlight w:val="none"/>
        </w:rPr>
        <w:t>术培训班采购评审办法</w:t>
      </w:r>
    </w:p>
    <w:bookmarkEnd w:id="0"/>
    <w:p>
      <w:pPr>
        <w:jc w:val="center"/>
        <w:rPr>
          <w:rFonts w:hint="eastAsia" w:ascii="宋体" w:hAnsi="宋体" w:cs="华光大标宋_CNKI"/>
          <w:sz w:val="32"/>
          <w:szCs w:val="36"/>
          <w:highlight w:val="none"/>
        </w:rPr>
      </w:pPr>
    </w:p>
    <w:p>
      <w:pPr>
        <w:ind w:firstLine="600" w:firstLineChars="200"/>
        <w:rPr>
          <w:rFonts w:hint="eastAsia" w:ascii="黑体" w:hAnsi="黑体" w:eastAsia="黑体" w:cs="黑体"/>
          <w:sz w:val="30"/>
          <w:szCs w:val="30"/>
          <w:highlight w:val="none"/>
        </w:rPr>
      </w:pPr>
      <w:r>
        <w:rPr>
          <w:rFonts w:hint="eastAsia" w:ascii="黑体" w:hAnsi="黑体" w:eastAsia="黑体" w:cs="黑体"/>
          <w:sz w:val="30"/>
          <w:szCs w:val="30"/>
          <w:highlight w:val="none"/>
        </w:rPr>
        <w:t>一、评审小组</w:t>
      </w:r>
    </w:p>
    <w:p>
      <w:pPr>
        <w:ind w:firstLine="600"/>
        <w:rPr>
          <w:rFonts w:hint="eastAsia" w:ascii="仿宋" w:hAnsi="仿宋" w:eastAsia="仿宋" w:cs="仿宋"/>
          <w:sz w:val="30"/>
          <w:szCs w:val="30"/>
          <w:highlight w:val="none"/>
        </w:rPr>
      </w:pPr>
      <w:r>
        <w:rPr>
          <w:rFonts w:hint="eastAsia" w:ascii="仿宋" w:hAnsi="仿宋" w:eastAsia="仿宋" w:cs="仿宋"/>
          <w:sz w:val="30"/>
          <w:szCs w:val="30"/>
          <w:highlight w:val="none"/>
        </w:rPr>
        <w:t>成立项目采购评审小组，对投标人的标书进行开标、审查，评出中标单位。</w:t>
      </w:r>
    </w:p>
    <w:p>
      <w:pPr>
        <w:ind w:firstLine="600"/>
        <w:rPr>
          <w:rFonts w:hint="eastAsia" w:ascii="仿宋" w:hAnsi="仿宋" w:eastAsia="仿宋" w:cs="仿宋"/>
          <w:sz w:val="30"/>
          <w:szCs w:val="30"/>
          <w:highlight w:val="none"/>
        </w:rPr>
      </w:pPr>
      <w:r>
        <w:rPr>
          <w:rFonts w:hint="eastAsia" w:ascii="黑体" w:hAnsi="黑体" w:eastAsia="黑体" w:cs="黑体"/>
          <w:sz w:val="30"/>
          <w:szCs w:val="30"/>
          <w:highlight w:val="none"/>
        </w:rPr>
        <w:t>二、评审方式</w:t>
      </w:r>
    </w:p>
    <w:p>
      <w:pPr>
        <w:tabs>
          <w:tab w:val="left" w:pos="1260"/>
          <w:tab w:val="left" w:pos="1365"/>
        </w:tabs>
        <w:ind w:left="10" w:leftChars="5"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现场评审，对投标人的标书进行现场开标、评审，确定中标单位。按评审办法，推荐中标候选人。若只有一家投标人参与投标，只需对其进行资格性评审，通过资格性审查后，推荐为本项目中标人。</w:t>
      </w:r>
    </w:p>
    <w:p>
      <w:pPr>
        <w:rPr>
          <w:rFonts w:hint="eastAsia" w:ascii="仿宋" w:hAnsi="仿宋" w:eastAsia="仿宋" w:cs="仿宋"/>
          <w:sz w:val="30"/>
          <w:szCs w:val="30"/>
          <w:highlight w:val="none"/>
        </w:rPr>
      </w:pPr>
      <w:r>
        <w:rPr>
          <w:rFonts w:hint="eastAsia" w:ascii="黑体" w:hAnsi="黑体" w:eastAsia="黑体" w:cs="黑体"/>
          <w:sz w:val="30"/>
          <w:szCs w:val="30"/>
          <w:highlight w:val="none"/>
        </w:rPr>
        <w:t>　　三、评审项目预算金额</w:t>
      </w:r>
    </w:p>
    <w:p>
      <w:pPr>
        <w:rPr>
          <w:rFonts w:hint="eastAsia" w:ascii="仿宋" w:hAnsi="仿宋" w:eastAsia="仿宋" w:cs="仿宋"/>
          <w:sz w:val="30"/>
          <w:szCs w:val="30"/>
          <w:highlight w:val="none"/>
        </w:rPr>
      </w:pPr>
      <w:r>
        <w:rPr>
          <w:rFonts w:hint="eastAsia" w:ascii="仿宋" w:hAnsi="仿宋" w:eastAsia="仿宋" w:cs="仿宋"/>
          <w:sz w:val="30"/>
          <w:szCs w:val="30"/>
          <w:highlight w:val="none"/>
        </w:rPr>
        <w:t>　　本项目总预算</w:t>
      </w:r>
      <w:r>
        <w:rPr>
          <w:rFonts w:hint="eastAsia" w:ascii="仿宋" w:hAnsi="仿宋" w:eastAsia="仿宋" w:cs="仿宋"/>
          <w:sz w:val="30"/>
          <w:szCs w:val="30"/>
          <w:highlight w:val="none"/>
          <w:lang w:val="en-US" w:eastAsia="zh-CN"/>
        </w:rPr>
        <w:t>6004</w:t>
      </w:r>
      <w:r>
        <w:rPr>
          <w:rFonts w:hint="eastAsia" w:ascii="仿宋" w:hAnsi="仿宋" w:eastAsia="仿宋" w:cs="仿宋"/>
          <w:sz w:val="30"/>
          <w:szCs w:val="30"/>
          <w:highlight w:val="none"/>
        </w:rPr>
        <w:t>元（含税额）。组织召开</w:t>
      </w:r>
      <w:r>
        <w:rPr>
          <w:rFonts w:hint="eastAsia" w:ascii="仿宋" w:hAnsi="仿宋" w:eastAsia="仿宋" w:cs="仿宋"/>
          <w:sz w:val="30"/>
          <w:szCs w:val="30"/>
          <w:highlight w:val="none"/>
          <w:lang w:val="en-US" w:eastAsia="zh-CN"/>
        </w:rPr>
        <w:t>1期水稻病虫害统防统治技术培训班，培训人数不少于46人，培训内容为水稻病虫害统防统治技术、绿色防控技术等。</w:t>
      </w:r>
    </w:p>
    <w:p>
      <w:pPr>
        <w:ind w:firstLine="600" w:firstLineChars="200"/>
        <w:rPr>
          <w:rFonts w:hint="eastAsia" w:ascii="黑体" w:hAnsi="黑体" w:eastAsia="黑体" w:cs="黑体"/>
          <w:sz w:val="30"/>
          <w:szCs w:val="30"/>
          <w:highlight w:val="none"/>
        </w:rPr>
      </w:pPr>
      <w:r>
        <w:rPr>
          <w:rFonts w:hint="eastAsia" w:ascii="黑体" w:hAnsi="黑体" w:eastAsia="黑体" w:cs="黑体"/>
          <w:sz w:val="30"/>
          <w:szCs w:val="30"/>
          <w:highlight w:val="none"/>
        </w:rPr>
        <w:t>四、评审程序及标准</w:t>
      </w:r>
    </w:p>
    <w:p>
      <w:pPr>
        <w:ind w:firstLine="600"/>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（一）资格性审查</w:t>
      </w:r>
    </w:p>
    <w:p>
      <w:pPr>
        <w:ind w:firstLine="600"/>
        <w:rPr>
          <w:rFonts w:hint="eastAsia" w:ascii="仿宋" w:hAnsi="仿宋" w:eastAsia="仿宋" w:cs="仿宋"/>
          <w:sz w:val="30"/>
          <w:szCs w:val="30"/>
          <w:highlight w:val="none"/>
        </w:rPr>
      </w:pPr>
      <w:r>
        <w:rPr>
          <w:rFonts w:hint="eastAsia" w:ascii="仿宋" w:hAnsi="仿宋" w:eastAsia="仿宋" w:cs="仿宋"/>
          <w:sz w:val="30"/>
          <w:szCs w:val="30"/>
          <w:highlight w:val="none"/>
        </w:rPr>
        <w:t>对投标人资格性进行审查，具体见《资格性审查表》，通过后进行综合性评审。</w:t>
      </w:r>
    </w:p>
    <w:p>
      <w:pPr>
        <w:jc w:val="center"/>
        <w:rPr>
          <w:rFonts w:hint="eastAsia" w:ascii="仿宋" w:hAnsi="仿宋" w:eastAsia="仿宋" w:cs="仿宋"/>
          <w:sz w:val="30"/>
          <w:szCs w:val="30"/>
          <w:highlight w:val="none"/>
        </w:rPr>
      </w:pPr>
      <w:r>
        <w:rPr>
          <w:rFonts w:hint="eastAsia" w:ascii="仿宋" w:hAnsi="仿宋" w:eastAsia="仿宋" w:cs="黑体"/>
          <w:b/>
          <w:sz w:val="24"/>
          <w:highlight w:val="none"/>
        </w:rPr>
        <w:t>资格性评审表</w:t>
      </w:r>
    </w:p>
    <w:tbl>
      <w:tblPr>
        <w:tblStyle w:val="2"/>
        <w:tblpPr w:leftFromText="180" w:rightFromText="180" w:vertAnchor="text" w:horzAnchor="page" w:tblpX="1794" w:tblpY="282"/>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8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jc w:val="center"/>
              <w:rPr>
                <w:rFonts w:hint="eastAsia" w:ascii="仿宋" w:hAnsi="仿宋" w:eastAsia="仿宋" w:cs="仿宋"/>
                <w:sz w:val="24"/>
                <w:highlight w:val="none"/>
              </w:rPr>
            </w:pPr>
            <w:r>
              <w:rPr>
                <w:rFonts w:hint="eastAsia" w:ascii="仿宋" w:hAnsi="仿宋" w:eastAsia="仿宋" w:cs="黑体"/>
                <w:sz w:val="24"/>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rPr>
                <w:rFonts w:hint="eastAsia" w:ascii="仿宋" w:hAnsi="仿宋" w:eastAsia="仿宋" w:cs="仿宋"/>
                <w:sz w:val="24"/>
                <w:highlight w:val="none"/>
              </w:rPr>
            </w:pPr>
            <w:r>
              <w:rPr>
                <w:rFonts w:hint="eastAsia" w:ascii="仿宋" w:hAnsi="仿宋" w:eastAsia="仿宋" w:cs="仿宋"/>
                <w:sz w:val="24"/>
                <w:highlight w:val="none"/>
              </w:rPr>
              <w:t>1、供应商应当具备《中华人民共和国政府采购法》第二十二条规定的条件；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rPr>
                <w:rFonts w:hint="eastAsia" w:ascii="仿宋" w:hAnsi="仿宋" w:eastAsia="仿宋" w:cs="仿宋"/>
                <w:sz w:val="24"/>
                <w:highlight w:val="none"/>
              </w:rPr>
            </w:pPr>
            <w:r>
              <w:rPr>
                <w:rFonts w:hint="eastAsia" w:ascii="仿宋" w:hAnsi="仿宋" w:eastAsia="仿宋" w:cs="仿宋"/>
                <w:sz w:val="24"/>
                <w:highlight w:val="none"/>
              </w:rPr>
              <w:t>2、供应商应当是具有合法经营资格的法人或者其他组织，且具有良好的信誉和健全的财务会计制度（提供近三年财务会计报表或审计报告）；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rPr>
                <w:rFonts w:hint="eastAsia" w:ascii="仿宋" w:hAnsi="仿宋" w:eastAsia="仿宋" w:cs="仿宋"/>
                <w:sz w:val="24"/>
                <w:highlight w:val="none"/>
              </w:rPr>
            </w:pPr>
            <w:r>
              <w:rPr>
                <w:rFonts w:hint="eastAsia" w:ascii="仿宋" w:hAnsi="仿宋" w:eastAsia="仿宋" w:cs="仿宋"/>
                <w:sz w:val="24"/>
                <w:highlight w:val="none"/>
              </w:rPr>
              <w:t>3、供应商营业执照经营范围符合投标本项目相关采购内容；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rPr>
                <w:rFonts w:hint="eastAsia" w:ascii="仿宋" w:hAnsi="仿宋" w:eastAsia="仿宋" w:cs="仿宋"/>
                <w:sz w:val="24"/>
                <w:highlight w:val="none"/>
              </w:rPr>
            </w:pPr>
            <w:r>
              <w:rPr>
                <w:rFonts w:hint="eastAsia" w:ascii="仿宋" w:hAnsi="仿宋" w:eastAsia="仿宋" w:cs="仿宋"/>
                <w:sz w:val="24"/>
                <w:highlight w:val="none"/>
              </w:rPr>
              <w:t>4、参加本次采购活动前三年内，在经营活动中没有重大违法记录；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rPr>
                <w:rFonts w:hint="eastAsia" w:ascii="仿宋" w:hAnsi="仿宋" w:eastAsia="仿宋" w:cs="仿宋"/>
                <w:sz w:val="24"/>
                <w:highlight w:val="none"/>
              </w:rPr>
            </w:pPr>
            <w:r>
              <w:rPr>
                <w:rFonts w:hint="eastAsia" w:ascii="仿宋" w:hAnsi="仿宋" w:eastAsia="仿宋" w:cs="仿宋"/>
                <w:sz w:val="24"/>
                <w:highlight w:val="none"/>
              </w:rPr>
              <w:t>5、本项目不接受联合体供应；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rPr>
                <w:rFonts w:hint="eastAsia" w:ascii="仿宋" w:hAnsi="仿宋" w:eastAsia="仿宋" w:cs="仿宋"/>
                <w:sz w:val="24"/>
                <w:highlight w:val="none"/>
              </w:rPr>
            </w:pPr>
            <w:r>
              <w:rPr>
                <w:rFonts w:hint="eastAsia" w:ascii="仿宋" w:hAnsi="仿宋" w:eastAsia="仿宋" w:cs="仿宋"/>
                <w:sz w:val="24"/>
                <w:highlight w:val="none"/>
              </w:rPr>
              <w:t>6、投标人的投标报价不得高于控制价。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shd w:val="clear" w:color="auto" w:fill="FFFFFF"/>
            <w:noWrap w:val="0"/>
            <w:tcMar>
              <w:top w:w="75" w:type="dxa"/>
              <w:left w:w="150" w:type="dxa"/>
              <w:bottom w:w="75" w:type="dxa"/>
              <w:right w:w="150" w:type="dxa"/>
            </w:tcMar>
            <w:vAlign w:val="center"/>
          </w:tcPr>
          <w:p>
            <w:pPr>
              <w:spacing w:line="340" w:lineRule="exact"/>
              <w:jc w:val="center"/>
              <w:rPr>
                <w:rFonts w:hint="eastAsia" w:ascii="仿宋" w:hAnsi="仿宋" w:eastAsia="仿宋" w:cs="仿宋"/>
                <w:sz w:val="24"/>
                <w:highlight w:val="none"/>
              </w:rPr>
            </w:pPr>
            <w:r>
              <w:rPr>
                <w:rFonts w:hint="eastAsia" w:ascii="仿宋" w:hAnsi="仿宋" w:eastAsia="仿宋" w:cs="仿宋"/>
                <w:sz w:val="24"/>
                <w:highlight w:val="none"/>
              </w:rPr>
              <w:t>是否通过</w:t>
            </w:r>
          </w:p>
        </w:tc>
      </w:tr>
    </w:tbl>
    <w:p>
      <w:pPr>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（二）综合性评审</w:t>
      </w:r>
    </w:p>
    <w:p>
      <w:pPr>
        <w:tabs>
          <w:tab w:val="left" w:pos="945"/>
        </w:tabs>
        <w:spacing w:line="360" w:lineRule="auto"/>
        <w:ind w:firstLine="600" w:firstLineChars="200"/>
        <w:rPr>
          <w:rFonts w:hint="eastAsia" w:ascii="仿宋" w:hAnsi="仿宋" w:eastAsia="仿宋" w:cs="仿宋"/>
          <w:b/>
          <w:sz w:val="24"/>
          <w:highlight w:val="none"/>
        </w:rPr>
      </w:pPr>
      <w:r>
        <w:rPr>
          <w:rFonts w:hint="eastAsia" w:ascii="仿宋" w:hAnsi="仿宋" w:eastAsia="仿宋" w:cs="仿宋"/>
          <w:sz w:val="30"/>
          <w:szCs w:val="30"/>
          <w:highlight w:val="none"/>
        </w:rPr>
        <w:t>综合性评审评分总值最高为100分，评审小组就各投标文件对综合评审内容的各项要求进行评分，评审的具体内容及评分分值（权重）设置见《综合性评审表》：</w:t>
      </w:r>
    </w:p>
    <w:p>
      <w:pPr>
        <w:spacing w:line="360" w:lineRule="auto"/>
        <w:jc w:val="center"/>
        <w:rPr>
          <w:rFonts w:hint="eastAsia" w:ascii="仿宋" w:hAnsi="仿宋" w:eastAsia="仿宋" w:cs="仿宋"/>
          <w:b/>
          <w:sz w:val="24"/>
          <w:szCs w:val="28"/>
          <w:highlight w:val="none"/>
        </w:rPr>
      </w:pPr>
      <w:r>
        <w:rPr>
          <w:rFonts w:hint="eastAsia" w:ascii="仿宋" w:hAnsi="仿宋" w:eastAsia="仿宋" w:cs="仿宋"/>
          <w:b/>
          <w:sz w:val="24"/>
          <w:szCs w:val="28"/>
          <w:highlight w:val="none"/>
        </w:rPr>
        <w:t>综合性评审表</w:t>
      </w:r>
    </w:p>
    <w:tbl>
      <w:tblPr>
        <w:tblStyle w:val="2"/>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25"/>
        <w:gridCol w:w="1018"/>
        <w:gridCol w:w="527"/>
        <w:gridCol w:w="63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6" w:hRule="atLeast"/>
        </w:trPr>
        <w:tc>
          <w:tcPr>
            <w:tcW w:w="0" w:type="auto"/>
            <w:tcBorders>
              <w:top w:val="single" w:color="auto" w:sz="12" w:space="0"/>
              <w:left w:val="single" w:color="auto" w:sz="12" w:space="0"/>
              <w:bottom w:val="single" w:color="auto" w:sz="6" w:space="0"/>
              <w:right w:val="single" w:color="auto" w:sz="6" w:space="0"/>
            </w:tcBorders>
            <w:noWrap w:val="0"/>
            <w:vAlign w:val="center"/>
          </w:tcPr>
          <w:p>
            <w:pPr>
              <w:jc w:val="center"/>
              <w:rPr>
                <w:rFonts w:hint="eastAsia" w:ascii="仿宋" w:hAnsi="仿宋" w:eastAsia="仿宋" w:cs="仿宋"/>
                <w:b/>
                <w:bCs/>
                <w:sz w:val="24"/>
                <w:highlight w:val="none"/>
              </w:rPr>
            </w:pPr>
            <w:r>
              <w:rPr>
                <w:rFonts w:hint="eastAsia" w:ascii="仿宋" w:hAnsi="仿宋" w:eastAsia="仿宋" w:cs="仿宋"/>
                <w:b/>
                <w:bCs/>
                <w:sz w:val="24"/>
                <w:highlight w:val="none"/>
              </w:rPr>
              <w:t>类别</w:t>
            </w:r>
          </w:p>
        </w:tc>
        <w:tc>
          <w:tcPr>
            <w:tcW w:w="0" w:type="auto"/>
            <w:tcBorders>
              <w:top w:val="single" w:color="auto" w:sz="12" w:space="0"/>
              <w:left w:val="single" w:color="auto" w:sz="6" w:space="0"/>
              <w:bottom w:val="single" w:color="auto" w:sz="6" w:space="0"/>
              <w:right w:val="single" w:color="auto" w:sz="6" w:space="0"/>
            </w:tcBorders>
            <w:noWrap w:val="0"/>
            <w:vAlign w:val="center"/>
          </w:tcPr>
          <w:p>
            <w:pPr>
              <w:jc w:val="center"/>
              <w:rPr>
                <w:rFonts w:ascii="仿宋" w:hAnsi="仿宋" w:eastAsia="仿宋" w:cs="仿宋"/>
                <w:b/>
                <w:bCs/>
                <w:sz w:val="24"/>
                <w:highlight w:val="none"/>
              </w:rPr>
            </w:pPr>
            <w:r>
              <w:rPr>
                <w:rFonts w:hint="eastAsia" w:ascii="仿宋" w:hAnsi="仿宋" w:eastAsia="仿宋" w:cs="仿宋"/>
                <w:b/>
                <w:bCs/>
                <w:sz w:val="24"/>
                <w:highlight w:val="none"/>
              </w:rPr>
              <w:t>评审</w:t>
            </w:r>
          </w:p>
          <w:p>
            <w:pPr>
              <w:jc w:val="center"/>
              <w:rPr>
                <w:rFonts w:hint="eastAsia" w:ascii="仿宋" w:hAnsi="仿宋" w:eastAsia="仿宋" w:cs="仿宋"/>
                <w:b/>
                <w:bCs/>
                <w:sz w:val="24"/>
                <w:highlight w:val="none"/>
              </w:rPr>
            </w:pPr>
            <w:r>
              <w:rPr>
                <w:rFonts w:hint="eastAsia" w:ascii="仿宋" w:hAnsi="仿宋" w:eastAsia="仿宋" w:cs="仿宋"/>
                <w:b/>
                <w:bCs/>
                <w:sz w:val="24"/>
                <w:highlight w:val="none"/>
              </w:rPr>
              <w:t>项目</w:t>
            </w:r>
          </w:p>
        </w:tc>
        <w:tc>
          <w:tcPr>
            <w:tcW w:w="0" w:type="auto"/>
            <w:tcBorders>
              <w:top w:val="single" w:color="auto" w:sz="12"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b/>
                <w:bCs/>
                <w:sz w:val="24"/>
                <w:highlight w:val="none"/>
              </w:rPr>
            </w:pPr>
            <w:r>
              <w:rPr>
                <w:rFonts w:hint="eastAsia" w:ascii="仿宋" w:hAnsi="仿宋" w:eastAsia="仿宋" w:cs="仿宋"/>
                <w:b/>
                <w:bCs/>
                <w:sz w:val="24"/>
                <w:highlight w:val="none"/>
              </w:rPr>
              <w:t>分值</w:t>
            </w:r>
          </w:p>
        </w:tc>
        <w:tc>
          <w:tcPr>
            <w:tcW w:w="0" w:type="auto"/>
            <w:tcBorders>
              <w:top w:val="single" w:color="auto" w:sz="12" w:space="0"/>
              <w:left w:val="single" w:color="auto" w:sz="6" w:space="0"/>
              <w:bottom w:val="single" w:color="auto" w:sz="6" w:space="0"/>
              <w:right w:val="single" w:color="auto" w:sz="12" w:space="0"/>
            </w:tcBorders>
            <w:noWrap w:val="0"/>
            <w:vAlign w:val="center"/>
          </w:tcPr>
          <w:p>
            <w:pPr>
              <w:jc w:val="center"/>
              <w:rPr>
                <w:rFonts w:hint="eastAsia" w:ascii="仿宋" w:hAnsi="仿宋" w:eastAsia="仿宋" w:cs="仿宋"/>
                <w:b/>
                <w:bCs/>
                <w:sz w:val="24"/>
                <w:highlight w:val="none"/>
              </w:rPr>
            </w:pPr>
            <w:r>
              <w:rPr>
                <w:rFonts w:hint="eastAsia" w:ascii="仿宋" w:hAnsi="仿宋" w:eastAsia="仿宋" w:cs="仿宋"/>
                <w:b/>
                <w:bCs/>
                <w:sz w:val="24"/>
                <w:highlight w:val="none"/>
              </w:rPr>
              <w:t>评审内容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1" w:hRule="atLeast"/>
        </w:trPr>
        <w:tc>
          <w:tcPr>
            <w:tcW w:w="0" w:type="auto"/>
            <w:vMerge w:val="restart"/>
            <w:tcBorders>
              <w:top w:val="single" w:color="auto" w:sz="6" w:space="0"/>
              <w:left w:val="single" w:color="auto" w:sz="12"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商务评审</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 w:hAnsi="仿宋" w:eastAsia="仿宋" w:cs="仿宋"/>
                <w:sz w:val="24"/>
                <w:highlight w:val="none"/>
              </w:rPr>
            </w:pPr>
            <w:r>
              <w:rPr>
                <w:rFonts w:hint="eastAsia" w:ascii="仿宋" w:hAnsi="仿宋" w:eastAsia="仿宋" w:cs="仿宋"/>
                <w:sz w:val="24"/>
                <w:highlight w:val="none"/>
              </w:rPr>
              <w:t>财务状况</w:t>
            </w:r>
          </w:p>
        </w:tc>
        <w:tc>
          <w:tcPr>
            <w:tcW w:w="0" w:type="auto"/>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10分</w:t>
            </w:r>
          </w:p>
        </w:tc>
        <w:tc>
          <w:tcPr>
            <w:tcW w:w="0" w:type="auto"/>
            <w:tcBorders>
              <w:top w:val="single" w:color="auto" w:sz="6" w:space="0"/>
              <w:left w:val="single" w:color="auto" w:sz="6" w:space="0"/>
              <w:bottom w:val="single" w:color="auto" w:sz="6" w:space="0"/>
              <w:right w:val="single" w:color="auto" w:sz="12" w:space="0"/>
            </w:tcBorders>
            <w:noWrap w:val="0"/>
            <w:vAlign w:val="center"/>
          </w:tcPr>
          <w:p>
            <w:pPr>
              <w:widowControl/>
              <w:ind w:firstLine="480" w:firstLineChars="200"/>
              <w:rPr>
                <w:rFonts w:hint="eastAsia" w:ascii="仿宋" w:hAnsi="仿宋" w:eastAsia="仿宋" w:cs="仿宋"/>
                <w:sz w:val="24"/>
                <w:highlight w:val="none"/>
              </w:rPr>
            </w:pPr>
            <w:r>
              <w:rPr>
                <w:rFonts w:hint="eastAsia" w:ascii="仿宋" w:hAnsi="仿宋" w:eastAsia="仿宋" w:cs="仿宋"/>
                <w:sz w:val="24"/>
                <w:highlight w:val="none"/>
              </w:rPr>
              <w:t>经营情况良好，提供近两年财务审计报告或财务报表，得10分，</w:t>
            </w:r>
            <w:r>
              <w:rPr>
                <w:rFonts w:hint="eastAsia" w:ascii="仿宋" w:hAnsi="仿宋" w:eastAsia="仿宋" w:cs="仿宋"/>
                <w:bCs/>
                <w:kern w:val="0"/>
                <w:sz w:val="24"/>
                <w:highlight w:val="none"/>
              </w:rPr>
              <w:t>未提供或材料不全的不得分</w:t>
            </w:r>
            <w:r>
              <w:rPr>
                <w:rFonts w:hint="eastAsia" w:ascii="仿宋" w:hAnsi="仿宋" w:eastAsia="仿宋" w:cs="仿宋"/>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trPr>
        <w:tc>
          <w:tcPr>
            <w:tcW w:w="0" w:type="auto"/>
            <w:vMerge w:val="continue"/>
            <w:tcBorders>
              <w:left w:val="single" w:color="auto" w:sz="12"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p>
        </w:tc>
        <w:tc>
          <w:tcPr>
            <w:tcW w:w="0" w:type="auto"/>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sz w:val="24"/>
                <w:highlight w:val="none"/>
              </w:rPr>
            </w:pPr>
            <w:r>
              <w:rPr>
                <w:rFonts w:hint="eastAsia" w:ascii="仿宋" w:hAnsi="仿宋" w:eastAsia="仿宋" w:cs="仿宋"/>
                <w:sz w:val="24"/>
                <w:highlight w:val="none"/>
              </w:rPr>
              <w:t>同类项目业绩</w:t>
            </w:r>
          </w:p>
        </w:tc>
        <w:tc>
          <w:tcPr>
            <w:tcW w:w="0" w:type="auto"/>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15分</w:t>
            </w:r>
          </w:p>
        </w:tc>
        <w:tc>
          <w:tcPr>
            <w:tcW w:w="0" w:type="auto"/>
            <w:tcBorders>
              <w:top w:val="single" w:color="auto" w:sz="6" w:space="0"/>
              <w:left w:val="single" w:color="auto" w:sz="6" w:space="0"/>
              <w:bottom w:val="single" w:color="auto" w:sz="6" w:space="0"/>
              <w:right w:val="single" w:color="auto" w:sz="12" w:space="0"/>
            </w:tcBorders>
            <w:noWrap w:val="0"/>
            <w:vAlign w:val="center"/>
          </w:tcPr>
          <w:p>
            <w:pPr>
              <w:widowControl/>
              <w:ind w:firstLine="480" w:firstLineChars="200"/>
              <w:rPr>
                <w:rFonts w:hint="eastAsia" w:ascii="仿宋" w:hAnsi="仿宋" w:eastAsia="仿宋" w:cs="仿宋"/>
                <w:bCs/>
                <w:sz w:val="24"/>
                <w:highlight w:val="none"/>
              </w:rPr>
            </w:pPr>
            <w:r>
              <w:rPr>
                <w:rFonts w:hint="eastAsia" w:ascii="仿宋" w:hAnsi="仿宋" w:eastAsia="仿宋" w:cs="仿宋"/>
                <w:bCs/>
                <w:sz w:val="24"/>
                <w:highlight w:val="none"/>
              </w:rPr>
              <w:t>投标人近三年承担过的同类项目业绩，每提供一项得3分，最高得15分。</w:t>
            </w:r>
          </w:p>
          <w:p>
            <w:pPr>
              <w:widowControl/>
              <w:rPr>
                <w:rFonts w:hint="eastAsia" w:ascii="仿宋" w:hAnsi="仿宋" w:eastAsia="仿宋" w:cs="仿宋"/>
                <w:sz w:val="24"/>
                <w:highlight w:val="none"/>
              </w:rPr>
            </w:pPr>
            <w:r>
              <w:rPr>
                <w:rFonts w:hint="eastAsia" w:ascii="仿宋" w:hAnsi="仿宋" w:eastAsia="仿宋" w:cs="仿宋"/>
                <w:sz w:val="24"/>
                <w:highlight w:val="none"/>
              </w:rPr>
              <w:t>注：以合同复印件为准，不提供或专家无法认定的不得分。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0" w:type="auto"/>
            <w:vMerge w:val="restart"/>
            <w:tcBorders>
              <w:top w:val="single" w:color="auto" w:sz="6" w:space="0"/>
              <w:left w:val="single" w:color="auto" w:sz="12"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技术评审</w:t>
            </w:r>
          </w:p>
        </w:tc>
        <w:tc>
          <w:tcPr>
            <w:tcW w:w="0" w:type="auto"/>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kern w:val="0"/>
                <w:sz w:val="24"/>
                <w:highlight w:val="none"/>
              </w:rPr>
              <w:t>拟投入本项目的人员情况</w:t>
            </w:r>
          </w:p>
        </w:tc>
        <w:tc>
          <w:tcPr>
            <w:tcW w:w="0" w:type="auto"/>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20分</w:t>
            </w:r>
          </w:p>
        </w:tc>
        <w:tc>
          <w:tcPr>
            <w:tcW w:w="0" w:type="auto"/>
            <w:tcBorders>
              <w:top w:val="single" w:color="auto" w:sz="6" w:space="0"/>
              <w:left w:val="single" w:color="auto" w:sz="6" w:space="0"/>
              <w:bottom w:val="single" w:color="auto" w:sz="6" w:space="0"/>
              <w:right w:val="single" w:color="auto" w:sz="12" w:space="0"/>
            </w:tcBorders>
            <w:noWrap w:val="0"/>
            <w:vAlign w:val="center"/>
          </w:tcPr>
          <w:p>
            <w:pPr>
              <w:ind w:firstLine="480" w:firstLineChars="200"/>
              <w:rPr>
                <w:rFonts w:hint="eastAsia" w:ascii="仿宋" w:hAnsi="仿宋" w:eastAsia="仿宋" w:cs="仿宋"/>
                <w:bCs/>
                <w:kern w:val="0"/>
                <w:sz w:val="24"/>
                <w:highlight w:val="none"/>
              </w:rPr>
            </w:pPr>
            <w:r>
              <w:rPr>
                <w:rFonts w:hint="eastAsia" w:ascii="仿宋" w:hAnsi="仿宋" w:eastAsia="仿宋" w:cs="仿宋"/>
                <w:bCs/>
                <w:kern w:val="0"/>
                <w:sz w:val="24"/>
                <w:highlight w:val="none"/>
              </w:rPr>
              <w:t>根据投标人针对本项目拟派投入的培训师资中，每提供一名具有农业高级职称得10分，每提供一名具有农业中级职称得5分，满分20分。</w:t>
            </w:r>
          </w:p>
          <w:p>
            <w:pPr>
              <w:widowControl/>
              <w:ind w:firstLine="480" w:firstLineChars="200"/>
              <w:rPr>
                <w:rFonts w:hint="eastAsia" w:ascii="仿宋" w:hAnsi="仿宋" w:eastAsia="仿宋" w:cs="仿宋"/>
                <w:bCs/>
                <w:sz w:val="24"/>
                <w:highlight w:val="none"/>
              </w:rPr>
            </w:pPr>
            <w:r>
              <w:rPr>
                <w:rFonts w:hint="eastAsia" w:ascii="仿宋" w:hAnsi="仿宋" w:eastAsia="仿宋" w:cs="仿宋"/>
                <w:bCs/>
                <w:sz w:val="24"/>
                <w:highlight w:val="none"/>
              </w:rPr>
              <w:t>注：需提供职称证书以及上述人员近两年内在投标人单位签订的培训服务协议，不提供、提供不全或专家无法认定的不得分。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0" w:type="auto"/>
            <w:vMerge w:val="continue"/>
            <w:tcBorders>
              <w:left w:val="single" w:color="auto" w:sz="12"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服务方案</w:t>
            </w:r>
          </w:p>
        </w:tc>
        <w:tc>
          <w:tcPr>
            <w:tcW w:w="0" w:type="auto"/>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25分</w:t>
            </w:r>
          </w:p>
        </w:tc>
        <w:tc>
          <w:tcPr>
            <w:tcW w:w="0" w:type="auto"/>
            <w:tcBorders>
              <w:top w:val="single" w:color="auto" w:sz="6" w:space="0"/>
              <w:left w:val="single" w:color="auto" w:sz="6" w:space="0"/>
              <w:bottom w:val="single" w:color="auto" w:sz="6" w:space="0"/>
              <w:right w:val="single" w:color="auto" w:sz="12" w:space="0"/>
            </w:tcBorders>
            <w:noWrap w:val="0"/>
            <w:vAlign w:val="center"/>
          </w:tcPr>
          <w:p>
            <w:pPr>
              <w:widowControl/>
              <w:ind w:firstLine="480" w:firstLineChars="200"/>
              <w:rPr>
                <w:rFonts w:hint="eastAsia" w:ascii="仿宋" w:hAnsi="仿宋" w:eastAsia="仿宋" w:cs="仿宋"/>
                <w:bCs/>
                <w:sz w:val="24"/>
                <w:highlight w:val="none"/>
              </w:rPr>
            </w:pPr>
            <w:r>
              <w:rPr>
                <w:rFonts w:hint="eastAsia" w:ascii="仿宋" w:hAnsi="仿宋" w:eastAsia="仿宋" w:cs="仿宋"/>
                <w:bCs/>
                <w:kern w:val="0"/>
                <w:sz w:val="24"/>
                <w:highlight w:val="none"/>
              </w:rPr>
              <w:t>横向对比各投标人的实施方案，要求方案科学详尽，可操作性强。根据服务便利性和投标人提供的服务承诺横向比较评分：优（25-20分），良（19-15），中（14-10）、差（9-0分），未提供的不得分。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 w:hRule="atLeast"/>
        </w:trPr>
        <w:tc>
          <w:tcPr>
            <w:tcW w:w="0" w:type="auto"/>
            <w:tcBorders>
              <w:left w:val="single" w:color="auto" w:sz="12"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价格</w:t>
            </w:r>
            <w:r>
              <w:rPr>
                <w:rFonts w:ascii="仿宋" w:hAnsi="仿宋" w:eastAsia="仿宋" w:cs="仿宋"/>
                <w:bCs/>
                <w:sz w:val="24"/>
                <w:highlight w:val="none"/>
              </w:rPr>
              <w:t>评审</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 w:hAnsi="仿宋" w:eastAsia="仿宋" w:cs="仿宋"/>
                <w:kern w:val="0"/>
                <w:sz w:val="24"/>
                <w:highlight w:val="none"/>
              </w:rPr>
            </w:pPr>
            <w:r>
              <w:rPr>
                <w:rFonts w:hint="eastAsia" w:ascii="仿宋" w:hAnsi="仿宋" w:eastAsia="仿宋" w:cs="仿宋"/>
                <w:sz w:val="24"/>
                <w:highlight w:val="none"/>
              </w:rPr>
              <w:t>投标单价</w:t>
            </w:r>
          </w:p>
        </w:tc>
        <w:tc>
          <w:tcPr>
            <w:tcW w:w="0" w:type="auto"/>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30分</w:t>
            </w:r>
          </w:p>
        </w:tc>
        <w:tc>
          <w:tcPr>
            <w:tcW w:w="0" w:type="auto"/>
            <w:tcBorders>
              <w:top w:val="single" w:color="auto" w:sz="6" w:space="0"/>
              <w:left w:val="single" w:color="auto" w:sz="6" w:space="0"/>
              <w:bottom w:val="single" w:color="auto" w:sz="6" w:space="0"/>
              <w:right w:val="single" w:color="auto" w:sz="12" w:space="0"/>
            </w:tcBorders>
            <w:noWrap w:val="0"/>
            <w:vAlign w:val="center"/>
          </w:tcPr>
          <w:p>
            <w:pPr>
              <w:widowControl/>
              <w:ind w:firstLine="480" w:firstLineChars="200"/>
              <w:rPr>
                <w:rFonts w:hint="eastAsia" w:ascii="仿宋" w:hAnsi="仿宋" w:eastAsia="仿宋" w:cs="仿宋"/>
                <w:bCs/>
                <w:kern w:val="0"/>
                <w:sz w:val="24"/>
                <w:highlight w:val="none"/>
              </w:rPr>
            </w:pPr>
            <w:r>
              <w:rPr>
                <w:rFonts w:hint="eastAsia" w:ascii="仿宋" w:hAnsi="仿宋" w:eastAsia="仿宋" w:cs="仿宋"/>
                <w:bCs/>
                <w:kern w:val="0"/>
                <w:sz w:val="24"/>
                <w:highlight w:val="none"/>
              </w:rPr>
              <w:t>价格分统一采用低价优先法计算，即满足招标文件要求的各投标单价中取最低的为评标基准单价，其价格分为满分30分。价格分计算公式：价格得分=【评标基准单价／投标单价】×3</w:t>
            </w:r>
            <w:r>
              <w:rPr>
                <w:rFonts w:ascii="仿宋" w:hAnsi="仿宋" w:eastAsia="仿宋" w:cs="仿宋"/>
                <w:bCs/>
                <w:kern w:val="0"/>
                <w:sz w:val="24"/>
                <w:highlight w:val="none"/>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6" w:hRule="atLeast"/>
        </w:trPr>
        <w:tc>
          <w:tcPr>
            <w:tcW w:w="0" w:type="auto"/>
            <w:gridSpan w:val="4"/>
            <w:tcBorders>
              <w:top w:val="single" w:color="auto" w:sz="6" w:space="0"/>
              <w:left w:val="single" w:color="auto" w:sz="12" w:space="0"/>
              <w:bottom w:val="single" w:color="auto" w:sz="12" w:space="0"/>
              <w:right w:val="single" w:color="auto" w:sz="12" w:space="0"/>
            </w:tcBorders>
            <w:noWrap w:val="0"/>
            <w:vAlign w:val="center"/>
          </w:tcPr>
          <w:p>
            <w:pPr>
              <w:jc w:val="center"/>
              <w:rPr>
                <w:rFonts w:hint="eastAsia" w:ascii="仿宋" w:hAnsi="仿宋" w:eastAsia="仿宋" w:cs="仿宋"/>
                <w:bCs/>
                <w:sz w:val="24"/>
                <w:highlight w:val="none"/>
              </w:rPr>
            </w:pPr>
            <w:r>
              <w:rPr>
                <w:rFonts w:hint="eastAsia" w:ascii="仿宋" w:hAnsi="仿宋" w:eastAsia="仿宋" w:cs="仿宋"/>
                <w:bCs/>
                <w:sz w:val="24"/>
                <w:highlight w:val="none"/>
              </w:rPr>
              <w:t>合计：</w:t>
            </w:r>
            <w:r>
              <w:rPr>
                <w:rFonts w:ascii="仿宋" w:hAnsi="仿宋" w:eastAsia="仿宋" w:cs="仿宋"/>
                <w:bCs/>
                <w:sz w:val="24"/>
                <w:highlight w:val="none"/>
              </w:rPr>
              <w:t>10</w:t>
            </w:r>
            <w:r>
              <w:rPr>
                <w:rFonts w:hint="eastAsia" w:ascii="仿宋" w:hAnsi="仿宋" w:eastAsia="仿宋" w:cs="仿宋"/>
                <w:bCs/>
                <w:sz w:val="24"/>
                <w:highlight w:val="none"/>
              </w:rPr>
              <w:t>0分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光大标宋_CNKI">
    <w:altName w:val="宋体"/>
    <w:panose1 w:val="020005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1MWY1NmUzNmI1ZjkxNWYyMDYwNGExZDNhYTFlNzEifQ=="/>
  </w:docVars>
  <w:rsids>
    <w:rsidRoot w:val="793C7C95"/>
    <w:rsid w:val="793C7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2024-06-28T08:55:00Z</dcterms:created>
  <dc:creator>(눈_눈)</dc:creator>
  <cp:lastModifiedBy>(눈_눈)</cp:lastModifiedBy>
  <dcterms:modified xsi:type="dcterms:W3CDTF">2024-06-28T08:56:00Z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A290B7B8ABC24EB4B265445577AC8A78_11</vt:lpwstr>
  </property>
</Properties>
</file>